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after="0" w:afterAutospacing="0" w:line="283" w:lineRule="exac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-250485</wp:posOffset>
                </wp:positionH>
                <wp:positionV relativeFrom="paragraph">
                  <wp:posOffset>-76740</wp:posOffset>
                </wp:positionV>
                <wp:extent cx="2677314" cy="1646850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064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677313" cy="164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6384;o:allowoverlap:true;o:allowincell:true;mso-position-horizontal-relative:text;margin-left:-19.72pt;mso-position-horizontal:absolute;mso-position-vertical-relative:text;margin-top:-6.04pt;mso-position-vertical:absolute;width:210.81pt;height:129.67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условиях развития земельной реформы в 90-х годах прошлого века, земельные участки из публичной собственности стали передаваться в частную, актив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но создавались садоводства. Однако в период перестройки, многие жители из северных районов Иркутской области переехали в города агломерации Иркутской области или другие регионы России, забросив свои дачные участки, оставаясь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при этом их правообладателями.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83" w:lineRule="exact"/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стоит помнить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, что помимо прав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землю, сохранилась обязанность по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опла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те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все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х необходимых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налог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и платеж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поддержанию в пригодном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для использования по целевому назначению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земельных участков вне зависимости от того,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ис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пользую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тся он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или нет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afterAutospacing="0" w:line="283" w:lineRule="exact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сли земельный участок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не используется 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фак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тически не нужен, то собственник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может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отказаться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от участка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83" w:lineRule="exact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9456" behindDoc="0" locked="0" layoutInCell="1" allowOverlap="1">
                <wp:simplePos x="0" y="0"/>
                <wp:positionH relativeFrom="column">
                  <wp:posOffset>3892890</wp:posOffset>
                </wp:positionH>
                <wp:positionV relativeFrom="paragraph">
                  <wp:posOffset>53176</wp:posOffset>
                </wp:positionV>
                <wp:extent cx="2209800" cy="1356279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0343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209799" cy="1356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9456;o:allowoverlap:true;o:allowincell:true;mso-position-horizontal-relative:text;margin-left:306.53pt;mso-position-horizontal:absolute;mso-position-vertical-relative:text;margin-top:4.19pt;mso-position-vertical:absolute;width:174.00pt;height:106.79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  <w:r/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Процедура отказа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от права собственности на земельный участок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начинается с подачи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заявления о таком отказе в орган регистрации прав.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Сделать это можно через многофункциональный центр предоставления государственных и муниципальных услуг (МФЦ)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При наличии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усиленн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квалифицированн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электронн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ой подписи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собственник может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направить заявление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посредством единого портала государственных и муниципальных услуг или официального сайта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Росреестра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83" w:lineRule="exact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Если право собственности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не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зарегистрировано в Едином государственном реестре недвижимости,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то 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заявлению необходимо приложить правоустанавливаю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щий документ на земельный участок (например, свидетельство о праве собственности на землю).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рекращени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права собственности на земельный участок вследствие отказа от права на него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осуществляется без взимания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государственн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ой по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шлины.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ind w:firstLine="708"/>
        <w:jc w:val="both"/>
        <w:spacing w:after="0" w:line="283" w:lineRule="exact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момента прекращения права собственности на земельный участок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 прежнего собственника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прекращается бремя его содержания, в том числе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исчисление земельного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налога.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6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7648" behindDoc="0" locked="0" layoutInCell="1" allowOverlap="1">
                <wp:simplePos x="0" y="0"/>
                <wp:positionH relativeFrom="column">
                  <wp:posOffset>-250485</wp:posOffset>
                </wp:positionH>
                <wp:positionV relativeFrom="paragraph">
                  <wp:posOffset>147302</wp:posOffset>
                </wp:positionV>
                <wp:extent cx="2850095" cy="1819682"/>
                <wp:effectExtent l="0" t="0" r="0" b="0"/>
                <wp:wrapSquare wrapText="bothSides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0406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850094" cy="181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7648;o:allowoverlap:true;o:allowincell:true;mso-position-horizontal-relative:text;margin-left:-19.72pt;mso-position-horizontal:absolute;mso-position-vertical-relative:text;margin-top:11.60pt;mso-position-vertical:absolute;width:224.42pt;height:143.28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6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настоящее время органами местного самоуправления и Управлением Росреест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ра по Иркутской области проводятся мероприятия по выявлению правообладателей ранее учтенных земельных участков, сведения о правах на которые не внесены в Единый государственный реестр недвижимости. В связи с чем, если Вы являетесь собственником земельного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участка, но не зарегистрировали свои права 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органе регистрации прав и желаете их оформить или отказаться от них, а также, если у Вас есть сомнения в наличии права собственности, то Вы можете получить консультацию, позвонив на «горячую» линию по телефону: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8(3952)450-150.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sectPr>
      <w:footerReference w:type="default" r:id="rId8"/>
      <w:footnotePr/>
      <w:endnotePr/>
      <w:type w:val="nextPage"/>
      <w:pgSz w:w="11906" w:h="16838" w:orient="portrait"/>
      <w:pgMar w:top="851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Нижний колонтитул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2024-12-26T01:31:55Z</dcterms:modified>
</cp:coreProperties>
</file>